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1" w:rightFromText="141" w:horzAnchor="margin" w:tblpY="-555"/>
        <w:tblW w:w="0" w:type="auto"/>
        <w:tblLayout w:type="fixed"/>
        <w:tblLook w:val="04A0" w:firstRow="1" w:lastRow="0" w:firstColumn="1" w:lastColumn="0" w:noHBand="0" w:noVBand="1"/>
      </w:tblPr>
      <w:tblGrid>
        <w:gridCol w:w="1809"/>
        <w:gridCol w:w="8045"/>
      </w:tblGrid>
      <w:tr w:rsidR="00F306DF" w:rsidTr="003B28FE">
        <w:tc>
          <w:tcPr>
            <w:tcW w:w="1809" w:type="dxa"/>
          </w:tcPr>
          <w:p w:rsidR="00292C80" w:rsidRPr="00292C80" w:rsidRDefault="00292C80" w:rsidP="00F306DF">
            <w:bookmarkStart w:id="0" w:name="_GoBack"/>
            <w:bookmarkEnd w:id="0"/>
            <w:r w:rsidRPr="00292C80">
              <w:rPr>
                <w:rFonts w:ascii="Calibri" w:hAnsi="Calibri" w:cs="Calibri"/>
                <w:bCs/>
                <w:sz w:val="24"/>
                <w:szCs w:val="24"/>
              </w:rPr>
              <w:t xml:space="preserve">Emne </w:t>
            </w:r>
          </w:p>
        </w:tc>
        <w:tc>
          <w:tcPr>
            <w:tcW w:w="8045" w:type="dxa"/>
          </w:tcPr>
          <w:p w:rsidR="00292C80" w:rsidRDefault="00292C80" w:rsidP="008D2278">
            <w:pPr>
              <w:tabs>
                <w:tab w:val="left" w:pos="1590"/>
              </w:tabs>
              <w:jc w:val="center"/>
              <w:rPr>
                <w:rFonts w:ascii="Calibri" w:hAnsi="Calibri" w:cs="Calibri"/>
                <w:b/>
                <w:sz w:val="32"/>
                <w:szCs w:val="32"/>
              </w:rPr>
            </w:pPr>
            <w:r w:rsidRPr="00292C80">
              <w:rPr>
                <w:rFonts w:ascii="Calibri" w:hAnsi="Calibri" w:cs="Calibri"/>
                <w:b/>
                <w:sz w:val="32"/>
                <w:szCs w:val="32"/>
              </w:rPr>
              <w:t>Rødkål som pH-indikator</w:t>
            </w:r>
          </w:p>
          <w:p w:rsidR="008D2278" w:rsidRPr="008D2278" w:rsidRDefault="008D2278" w:rsidP="008D2278">
            <w:pPr>
              <w:tabs>
                <w:tab w:val="left" w:pos="1590"/>
              </w:tabs>
              <w:jc w:val="center"/>
              <w:rPr>
                <w:sz w:val="32"/>
                <w:szCs w:val="32"/>
              </w:rPr>
            </w:pPr>
            <w:r w:rsidRPr="008D2278">
              <w:rPr>
                <w:rFonts w:ascii="Calibri" w:hAnsi="Calibri" w:cs="Calibri"/>
                <w:sz w:val="32"/>
                <w:szCs w:val="32"/>
              </w:rPr>
              <w:t>- se også de generelle kommentarer</w:t>
            </w:r>
          </w:p>
        </w:tc>
      </w:tr>
      <w:tr w:rsidR="00F306DF" w:rsidTr="003B28FE">
        <w:tc>
          <w:tcPr>
            <w:tcW w:w="1809" w:type="dxa"/>
          </w:tcPr>
          <w:p w:rsidR="00F56647" w:rsidRDefault="00292C80" w:rsidP="00F306DF">
            <w:pPr>
              <w:rPr>
                <w:rFonts w:ascii="Calibri" w:hAnsi="Calibri" w:cs="Calibri"/>
                <w:bCs/>
                <w:sz w:val="24"/>
                <w:szCs w:val="24"/>
              </w:rPr>
            </w:pPr>
            <w:r w:rsidRPr="00B14D9C">
              <w:rPr>
                <w:rFonts w:ascii="Calibri" w:hAnsi="Calibri" w:cs="Calibri"/>
                <w:bCs/>
                <w:sz w:val="24"/>
                <w:szCs w:val="24"/>
              </w:rPr>
              <w:t>Mål</w:t>
            </w:r>
            <w:r w:rsidR="00F56647">
              <w:rPr>
                <w:rFonts w:ascii="Calibri" w:hAnsi="Calibri" w:cs="Calibri"/>
                <w:bCs/>
                <w:sz w:val="24"/>
                <w:szCs w:val="24"/>
              </w:rPr>
              <w:t>-</w:t>
            </w:r>
          </w:p>
          <w:p w:rsidR="00292C80" w:rsidRPr="00B14D9C" w:rsidRDefault="00292C80" w:rsidP="00F306DF">
            <w:pPr>
              <w:rPr>
                <w:sz w:val="24"/>
                <w:szCs w:val="24"/>
              </w:rPr>
            </w:pPr>
            <w:r w:rsidRPr="00B14D9C">
              <w:rPr>
                <w:rFonts w:ascii="Calibri" w:hAnsi="Calibri" w:cs="Calibri"/>
                <w:bCs/>
                <w:sz w:val="24"/>
                <w:szCs w:val="24"/>
              </w:rPr>
              <w:t>gruppe</w:t>
            </w:r>
          </w:p>
        </w:tc>
        <w:tc>
          <w:tcPr>
            <w:tcW w:w="8045" w:type="dxa"/>
          </w:tcPr>
          <w:p w:rsidR="00292C80" w:rsidRPr="00B14D9C" w:rsidRDefault="00292C80" w:rsidP="00F306DF">
            <w:pPr>
              <w:rPr>
                <w:sz w:val="24"/>
                <w:szCs w:val="24"/>
              </w:rPr>
            </w:pPr>
            <w:r w:rsidRPr="00B14D9C">
              <w:rPr>
                <w:rFonts w:ascii="Calibri" w:hAnsi="Calibri" w:cs="Calibri"/>
                <w:sz w:val="24"/>
                <w:szCs w:val="24"/>
              </w:rPr>
              <w:t xml:space="preserve">Formidlingsagenter – små </w:t>
            </w:r>
          </w:p>
        </w:tc>
      </w:tr>
      <w:tr w:rsidR="00F306DF" w:rsidTr="003B28FE">
        <w:tc>
          <w:tcPr>
            <w:tcW w:w="1809" w:type="dxa"/>
          </w:tcPr>
          <w:p w:rsidR="00F56647" w:rsidRDefault="00292C80" w:rsidP="00F306DF">
            <w:pPr>
              <w:rPr>
                <w:rFonts w:ascii="Calibri" w:hAnsi="Calibri" w:cs="Calibri"/>
                <w:bCs/>
                <w:sz w:val="24"/>
                <w:szCs w:val="24"/>
              </w:rPr>
            </w:pPr>
            <w:r w:rsidRPr="00B14D9C">
              <w:rPr>
                <w:rFonts w:ascii="Calibri" w:hAnsi="Calibri" w:cs="Calibri"/>
                <w:bCs/>
                <w:sz w:val="24"/>
                <w:szCs w:val="24"/>
              </w:rPr>
              <w:t>Fag</w:t>
            </w:r>
            <w:r w:rsidR="003B28FE">
              <w:rPr>
                <w:rFonts w:ascii="Calibri" w:hAnsi="Calibri" w:cs="Calibri"/>
                <w:bCs/>
                <w:sz w:val="24"/>
                <w:szCs w:val="24"/>
              </w:rPr>
              <w:t>-</w:t>
            </w:r>
          </w:p>
          <w:p w:rsidR="00292C80" w:rsidRPr="00B14D9C" w:rsidRDefault="00292C80" w:rsidP="00F306DF">
            <w:pPr>
              <w:rPr>
                <w:sz w:val="24"/>
                <w:szCs w:val="24"/>
              </w:rPr>
            </w:pPr>
            <w:r w:rsidRPr="00B14D9C">
              <w:rPr>
                <w:rFonts w:ascii="Calibri" w:hAnsi="Calibri" w:cs="Calibri"/>
                <w:bCs/>
                <w:sz w:val="24"/>
                <w:szCs w:val="24"/>
              </w:rPr>
              <w:t>område</w:t>
            </w:r>
          </w:p>
        </w:tc>
        <w:tc>
          <w:tcPr>
            <w:tcW w:w="8045" w:type="dxa"/>
          </w:tcPr>
          <w:p w:rsidR="00292C80" w:rsidRPr="00B14D9C" w:rsidRDefault="00292C80" w:rsidP="00F306DF">
            <w:pPr>
              <w:rPr>
                <w:sz w:val="24"/>
                <w:szCs w:val="24"/>
              </w:rPr>
            </w:pPr>
            <w:r w:rsidRPr="00B14D9C">
              <w:rPr>
                <w:rFonts w:ascii="Calibri" w:hAnsi="Calibri" w:cs="Calibri"/>
                <w:sz w:val="24"/>
                <w:szCs w:val="24"/>
              </w:rPr>
              <w:t>Kemi</w:t>
            </w:r>
          </w:p>
        </w:tc>
      </w:tr>
      <w:tr w:rsidR="00F306DF" w:rsidTr="003B28FE">
        <w:tc>
          <w:tcPr>
            <w:tcW w:w="1809" w:type="dxa"/>
          </w:tcPr>
          <w:p w:rsidR="00292C80" w:rsidRPr="00B14D9C" w:rsidRDefault="00292C80" w:rsidP="00F306DF">
            <w:pPr>
              <w:rPr>
                <w:sz w:val="24"/>
                <w:szCs w:val="24"/>
              </w:rPr>
            </w:pPr>
            <w:r w:rsidRPr="00B14D9C">
              <w:rPr>
                <w:rFonts w:ascii="Calibri" w:hAnsi="Calibri" w:cs="Calibri"/>
                <w:bCs/>
                <w:sz w:val="24"/>
                <w:szCs w:val="24"/>
              </w:rPr>
              <w:t xml:space="preserve">Mål  </w:t>
            </w:r>
          </w:p>
        </w:tc>
        <w:tc>
          <w:tcPr>
            <w:tcW w:w="8045" w:type="dxa"/>
          </w:tcPr>
          <w:p w:rsidR="00292C80" w:rsidRPr="00B14D9C" w:rsidRDefault="00292C80" w:rsidP="00F306DF">
            <w:pPr>
              <w:rPr>
                <w:rFonts w:ascii="Calibri" w:hAnsi="Calibri"/>
                <w:sz w:val="24"/>
                <w:szCs w:val="24"/>
              </w:rPr>
            </w:pPr>
            <w:r w:rsidRPr="00B14D9C">
              <w:rPr>
                <w:rFonts w:ascii="Calibri" w:hAnsi="Calibri"/>
                <w:sz w:val="24"/>
                <w:szCs w:val="24"/>
              </w:rPr>
              <w:t xml:space="preserve">Eleverne skal undersøge og vurdere forskellige stoffer egenskaber. </w:t>
            </w:r>
          </w:p>
          <w:p w:rsidR="00292C80" w:rsidRPr="00B14D9C" w:rsidRDefault="00292C80" w:rsidP="00F306DF">
            <w:pPr>
              <w:rPr>
                <w:rFonts w:ascii="Calibri" w:hAnsi="Calibri"/>
                <w:sz w:val="24"/>
                <w:szCs w:val="24"/>
              </w:rPr>
            </w:pPr>
            <w:r w:rsidRPr="00B14D9C">
              <w:rPr>
                <w:rFonts w:ascii="Calibri" w:hAnsi="Calibri"/>
                <w:sz w:val="24"/>
                <w:szCs w:val="24"/>
              </w:rPr>
              <w:t>De skal kende generelle egenskaber ved hverdagens stoffer.</w:t>
            </w:r>
          </w:p>
          <w:p w:rsidR="00292C80" w:rsidRPr="00B14D9C" w:rsidRDefault="00292C80" w:rsidP="003B28FE">
            <w:pPr>
              <w:rPr>
                <w:sz w:val="24"/>
                <w:szCs w:val="24"/>
              </w:rPr>
            </w:pPr>
            <w:r w:rsidRPr="00B14D9C">
              <w:rPr>
                <w:rFonts w:ascii="Calibri" w:hAnsi="Calibri"/>
                <w:sz w:val="24"/>
                <w:szCs w:val="24"/>
              </w:rPr>
              <w:t>De skal undersøge, hvordan nye egenskaber fremk</w:t>
            </w:r>
            <w:r w:rsidR="00D85BAD">
              <w:rPr>
                <w:rFonts w:ascii="Calibri" w:hAnsi="Calibri"/>
                <w:sz w:val="24"/>
                <w:szCs w:val="24"/>
              </w:rPr>
              <w:t xml:space="preserve">ommer, når forskellige stoffer </w:t>
            </w:r>
            <w:r w:rsidRPr="00B14D9C">
              <w:rPr>
                <w:rFonts w:ascii="Calibri" w:hAnsi="Calibri"/>
                <w:sz w:val="24"/>
                <w:szCs w:val="24"/>
              </w:rPr>
              <w:t xml:space="preserve">blandes sammen. </w:t>
            </w:r>
          </w:p>
        </w:tc>
      </w:tr>
      <w:tr w:rsidR="00F306DF" w:rsidTr="003B28FE">
        <w:tc>
          <w:tcPr>
            <w:tcW w:w="1809" w:type="dxa"/>
          </w:tcPr>
          <w:p w:rsidR="00292C80" w:rsidRPr="00B14D9C" w:rsidRDefault="00292C80" w:rsidP="00F306DF">
            <w:pPr>
              <w:rPr>
                <w:b/>
                <w:sz w:val="24"/>
                <w:szCs w:val="24"/>
              </w:rPr>
            </w:pPr>
            <w:r w:rsidRPr="00B14D9C">
              <w:rPr>
                <w:b/>
                <w:sz w:val="24"/>
                <w:szCs w:val="24"/>
              </w:rPr>
              <w:t>Fase 1</w:t>
            </w:r>
          </w:p>
          <w:p w:rsidR="00292C80" w:rsidRPr="00B14D9C" w:rsidRDefault="00292C80" w:rsidP="00F306DF">
            <w:pPr>
              <w:rPr>
                <w:sz w:val="24"/>
                <w:szCs w:val="24"/>
              </w:rPr>
            </w:pPr>
            <w:r w:rsidRPr="00B14D9C">
              <w:rPr>
                <w:sz w:val="24"/>
                <w:szCs w:val="24"/>
              </w:rPr>
              <w:t>(intro / fang)</w:t>
            </w:r>
          </w:p>
        </w:tc>
        <w:tc>
          <w:tcPr>
            <w:tcW w:w="8045" w:type="dxa"/>
          </w:tcPr>
          <w:p w:rsidR="00292C80" w:rsidRPr="00B14D9C" w:rsidRDefault="00292C80" w:rsidP="00F306DF">
            <w:pPr>
              <w:rPr>
                <w:rFonts w:ascii="Calibri" w:hAnsi="Calibri" w:cs="Calibri"/>
                <w:bCs/>
                <w:sz w:val="24"/>
                <w:szCs w:val="24"/>
                <w:u w:val="single"/>
              </w:rPr>
            </w:pPr>
            <w:r w:rsidRPr="00B14D9C">
              <w:rPr>
                <w:rFonts w:ascii="Calibri" w:hAnsi="Calibri" w:cs="Calibri"/>
                <w:bCs/>
                <w:sz w:val="24"/>
                <w:szCs w:val="24"/>
                <w:u w:val="single"/>
              </w:rPr>
              <w:t>Demonstrationsforsøg: Vand til ”saftevand”</w:t>
            </w:r>
          </w:p>
          <w:p w:rsidR="00292C80" w:rsidRPr="00B14D9C" w:rsidRDefault="00292C80" w:rsidP="00F306DF">
            <w:pPr>
              <w:rPr>
                <w:rFonts w:ascii="Calibri" w:hAnsi="Calibri"/>
                <w:bCs/>
                <w:sz w:val="24"/>
                <w:szCs w:val="24"/>
              </w:rPr>
            </w:pPr>
            <w:r w:rsidRPr="00B14D9C">
              <w:rPr>
                <w:rFonts w:ascii="Calibri" w:hAnsi="Calibri" w:cs="Calibri"/>
                <w:bCs/>
                <w:sz w:val="24"/>
                <w:szCs w:val="24"/>
              </w:rPr>
              <w:t>Tag to ens glas. Hæld et par dråber pH-indikator (p</w:t>
            </w:r>
            <w:r w:rsidRPr="00B14D9C">
              <w:rPr>
                <w:rFonts w:ascii="Calibri" w:hAnsi="Calibri"/>
                <w:bCs/>
                <w:sz w:val="24"/>
                <w:szCs w:val="24"/>
              </w:rPr>
              <w:t xml:space="preserve">henolphthalein) i det ene glas og lidt base i det andet glas - inden eleverne ankommer. </w:t>
            </w:r>
          </w:p>
          <w:p w:rsidR="00292C80" w:rsidRPr="00B14D9C" w:rsidRDefault="00292C80" w:rsidP="00F306DF">
            <w:pPr>
              <w:rPr>
                <w:rFonts w:ascii="Calibri" w:hAnsi="Calibri"/>
                <w:bCs/>
                <w:sz w:val="24"/>
                <w:szCs w:val="24"/>
              </w:rPr>
            </w:pPr>
            <w:r w:rsidRPr="00B14D9C">
              <w:rPr>
                <w:rFonts w:ascii="Calibri" w:hAnsi="Calibri"/>
                <w:bCs/>
                <w:sz w:val="24"/>
                <w:szCs w:val="24"/>
              </w:rPr>
              <w:t>Under demonstrationen tages vand fra vandhanen og fyldes i det første glas (phenolphthalein er farveløs uden base). Herefter siges en ”trylleformular” og vandet (hvori der nu er opløst phenolphthalein) hældes fra det første glas til det andet (hvori der er base), og ”vandet” forvandles til en pink væske …..</w:t>
            </w:r>
          </w:p>
          <w:p w:rsidR="00292C80" w:rsidRPr="00B14D9C" w:rsidRDefault="00950F1D" w:rsidP="00F306DF">
            <w:pPr>
              <w:rPr>
                <w:sz w:val="24"/>
                <w:szCs w:val="24"/>
              </w:rPr>
            </w:pPr>
            <w:r w:rsidRPr="00B14D9C">
              <w:rPr>
                <w:rFonts w:ascii="Calibri" w:hAnsi="Calibri"/>
                <w:bCs/>
                <w:sz w:val="24"/>
                <w:szCs w:val="24"/>
              </w:rPr>
              <w:t>Nyd deres undren...</w:t>
            </w:r>
            <w:r w:rsidR="00530134" w:rsidRPr="00B14D9C">
              <w:rPr>
                <w:rFonts w:ascii="Calibri" w:hAnsi="Calibri"/>
                <w:bCs/>
                <w:sz w:val="24"/>
                <w:szCs w:val="24"/>
              </w:rPr>
              <w:t>(motivation).</w:t>
            </w:r>
            <w:r w:rsidR="00F306DF" w:rsidRPr="00B14D9C">
              <w:rPr>
                <w:rFonts w:ascii="Calibri" w:hAnsi="Calibri"/>
                <w:bCs/>
                <w:sz w:val="24"/>
                <w:szCs w:val="24"/>
              </w:rPr>
              <w:t xml:space="preserve"> </w:t>
            </w:r>
            <w:r w:rsidR="00292C80" w:rsidRPr="00B14D9C">
              <w:rPr>
                <w:rFonts w:ascii="Calibri" w:hAnsi="Calibri"/>
                <w:bCs/>
                <w:sz w:val="24"/>
                <w:szCs w:val="24"/>
              </w:rPr>
              <w:t xml:space="preserve">Tal med eleverne om eksperimentet. Vis dem at blandingen bliver smidt ud i en kemikaliebeholder, fordi det absolut ikke må drikkes. De må ikke tro det er saftevand. </w:t>
            </w:r>
          </w:p>
        </w:tc>
      </w:tr>
      <w:tr w:rsidR="00F306DF" w:rsidTr="003B28FE">
        <w:tc>
          <w:tcPr>
            <w:tcW w:w="1809" w:type="dxa"/>
          </w:tcPr>
          <w:p w:rsidR="00292C80" w:rsidRPr="00B14D9C" w:rsidRDefault="00292C80" w:rsidP="00F306DF">
            <w:pPr>
              <w:rPr>
                <w:b/>
                <w:sz w:val="24"/>
                <w:szCs w:val="24"/>
              </w:rPr>
            </w:pPr>
            <w:r w:rsidRPr="00B14D9C">
              <w:rPr>
                <w:b/>
                <w:sz w:val="24"/>
                <w:szCs w:val="24"/>
              </w:rPr>
              <w:t>Fase 2</w:t>
            </w:r>
          </w:p>
          <w:p w:rsidR="00F306DF" w:rsidRPr="00B14D9C" w:rsidRDefault="00D87C19" w:rsidP="00F306DF">
            <w:pPr>
              <w:rPr>
                <w:sz w:val="24"/>
                <w:szCs w:val="24"/>
              </w:rPr>
            </w:pPr>
            <w:r w:rsidRPr="00B14D9C">
              <w:rPr>
                <w:sz w:val="24"/>
                <w:szCs w:val="24"/>
              </w:rPr>
              <w:t>(</w:t>
            </w:r>
            <w:r w:rsidR="00F306DF" w:rsidRPr="00B14D9C">
              <w:rPr>
                <w:sz w:val="24"/>
                <w:szCs w:val="24"/>
              </w:rPr>
              <w:t>fundament/</w:t>
            </w:r>
          </w:p>
          <w:p w:rsidR="00D87C19" w:rsidRPr="00B14D9C" w:rsidRDefault="00D87C19" w:rsidP="00F306DF">
            <w:pPr>
              <w:rPr>
                <w:sz w:val="24"/>
                <w:szCs w:val="24"/>
              </w:rPr>
            </w:pPr>
            <w:r w:rsidRPr="00B14D9C">
              <w:rPr>
                <w:sz w:val="24"/>
                <w:szCs w:val="24"/>
              </w:rPr>
              <w:t>forudsætning)</w:t>
            </w:r>
          </w:p>
        </w:tc>
        <w:tc>
          <w:tcPr>
            <w:tcW w:w="8045" w:type="dxa"/>
          </w:tcPr>
          <w:p w:rsidR="00292C80" w:rsidRPr="00B14D9C" w:rsidRDefault="00530134" w:rsidP="00F306DF">
            <w:pPr>
              <w:rPr>
                <w:sz w:val="24"/>
                <w:szCs w:val="24"/>
              </w:rPr>
            </w:pPr>
            <w:r w:rsidRPr="00B14D9C">
              <w:rPr>
                <w:sz w:val="24"/>
                <w:szCs w:val="24"/>
              </w:rPr>
              <w:t xml:space="preserve">Lær dem derfor fagudtryk som pH- og pH-skalaen (pH-værdier), syre, base, neutral væske. Indikator. Denne fase 2 </w:t>
            </w:r>
            <w:r w:rsidR="00D87C19" w:rsidRPr="00B14D9C">
              <w:rPr>
                <w:sz w:val="24"/>
                <w:szCs w:val="24"/>
              </w:rPr>
              <w:t xml:space="preserve">vil samtidig afsløre elevernes forforståelse. Undervisningen kan med fordel </w:t>
            </w:r>
            <w:r w:rsidRPr="00B14D9C">
              <w:rPr>
                <w:sz w:val="24"/>
                <w:szCs w:val="24"/>
              </w:rPr>
              <w:t>udføres i samarbejde med ældre elever.</w:t>
            </w:r>
            <w:r w:rsidR="00F306DF" w:rsidRPr="00B14D9C">
              <w:rPr>
                <w:sz w:val="24"/>
                <w:szCs w:val="24"/>
              </w:rPr>
              <w:t xml:space="preserve"> Måske rengøringsdamen kan kigge forbi med rengøringsvognens mange kemikalier... </w:t>
            </w:r>
          </w:p>
        </w:tc>
      </w:tr>
      <w:tr w:rsidR="00F306DF" w:rsidTr="003B28FE">
        <w:tc>
          <w:tcPr>
            <w:tcW w:w="1809" w:type="dxa"/>
          </w:tcPr>
          <w:p w:rsidR="00292C80" w:rsidRPr="00B14D9C" w:rsidRDefault="00D87C19" w:rsidP="00F306DF">
            <w:pPr>
              <w:rPr>
                <w:b/>
                <w:sz w:val="24"/>
                <w:szCs w:val="24"/>
              </w:rPr>
            </w:pPr>
            <w:r w:rsidRPr="00B14D9C">
              <w:rPr>
                <w:b/>
                <w:sz w:val="24"/>
                <w:szCs w:val="24"/>
              </w:rPr>
              <w:t>Fase 3</w:t>
            </w:r>
          </w:p>
          <w:p w:rsidR="00F306DF" w:rsidRPr="00B14D9C" w:rsidRDefault="00F306DF" w:rsidP="00F306DF">
            <w:pPr>
              <w:rPr>
                <w:sz w:val="24"/>
                <w:szCs w:val="24"/>
              </w:rPr>
            </w:pPr>
            <w:r w:rsidRPr="00B14D9C">
              <w:rPr>
                <w:sz w:val="24"/>
                <w:szCs w:val="24"/>
              </w:rPr>
              <w:t>(forsk)</w:t>
            </w:r>
          </w:p>
        </w:tc>
        <w:tc>
          <w:tcPr>
            <w:tcW w:w="8045" w:type="dxa"/>
          </w:tcPr>
          <w:p w:rsidR="00292C80" w:rsidRPr="00B14D9C" w:rsidRDefault="00814972" w:rsidP="00F306DF">
            <w:pPr>
              <w:rPr>
                <w:sz w:val="24"/>
                <w:szCs w:val="24"/>
              </w:rPr>
            </w:pPr>
            <w:r w:rsidRPr="00B14D9C">
              <w:rPr>
                <w:sz w:val="24"/>
                <w:szCs w:val="24"/>
              </w:rPr>
              <w:t xml:space="preserve">Så skal eleverne selv til at undersøge. Brug rødkål som indikator - </w:t>
            </w:r>
            <w:r w:rsidR="007B35E1" w:rsidRPr="00B14D9C">
              <w:rPr>
                <w:sz w:val="24"/>
                <w:szCs w:val="24"/>
              </w:rPr>
              <w:t xml:space="preserve">lad </w:t>
            </w:r>
            <w:r w:rsidR="00F306DF" w:rsidRPr="00B14D9C">
              <w:rPr>
                <w:sz w:val="24"/>
                <w:szCs w:val="24"/>
              </w:rPr>
              <w:t xml:space="preserve">evt </w:t>
            </w:r>
            <w:r w:rsidR="007B35E1" w:rsidRPr="00B14D9C">
              <w:rPr>
                <w:sz w:val="24"/>
                <w:szCs w:val="24"/>
              </w:rPr>
              <w:t xml:space="preserve">eleverne følge denne </w:t>
            </w:r>
            <w:r w:rsidRPr="00B14D9C">
              <w:rPr>
                <w:sz w:val="24"/>
                <w:szCs w:val="24"/>
              </w:rPr>
              <w:t xml:space="preserve">vejledning: </w:t>
            </w:r>
            <w:hyperlink r:id="rId5" w:history="1">
              <w:r w:rsidRPr="00B14D9C">
                <w:rPr>
                  <w:rStyle w:val="Hyperlink"/>
                  <w:rFonts w:ascii="Calibri" w:hAnsi="Calibri" w:cs="Calibri"/>
                  <w:color w:val="auto"/>
                  <w:sz w:val="24"/>
                  <w:szCs w:val="24"/>
                  <w:u w:val="none"/>
                </w:rPr>
                <w:t>http://www.formidling.dk/sw41095.asp?experimentId=1082&amp;postback=1&amp;searchText-=r%F8dk%E5l&amp;searchArea=&amp;searchTeacherAssistance=&amp;searchRoom=&amp;searchTime=&amp;-searchClass=&amp;searchSubject</w:t>
              </w:r>
            </w:hyperlink>
            <w:r w:rsidR="00D85BAD">
              <w:rPr>
                <w:rStyle w:val="Hyperlink"/>
                <w:rFonts w:ascii="Calibri" w:hAnsi="Calibri" w:cs="Calibri"/>
                <w:color w:val="auto"/>
                <w:sz w:val="24"/>
                <w:szCs w:val="24"/>
                <w:u w:val="none"/>
              </w:rPr>
              <w:t xml:space="preserve">  </w:t>
            </w:r>
          </w:p>
          <w:p w:rsidR="00F306DF" w:rsidRPr="00B14D9C" w:rsidRDefault="00F306DF" w:rsidP="00F306DF">
            <w:pPr>
              <w:rPr>
                <w:sz w:val="24"/>
                <w:szCs w:val="24"/>
              </w:rPr>
            </w:pPr>
            <w:r w:rsidRPr="00B14D9C">
              <w:rPr>
                <w:sz w:val="24"/>
                <w:szCs w:val="24"/>
              </w:rPr>
              <w:t>Gør eleverne opmærksomme på, at de</w:t>
            </w:r>
            <w:r w:rsidR="00D85BAD">
              <w:rPr>
                <w:sz w:val="24"/>
                <w:szCs w:val="24"/>
              </w:rPr>
              <w:t xml:space="preserve"> skal arbejde efter U-modellen</w:t>
            </w:r>
            <w:r w:rsidRPr="00B14D9C">
              <w:rPr>
                <w:sz w:val="24"/>
                <w:szCs w:val="24"/>
              </w:rPr>
              <w:t>.</w:t>
            </w:r>
          </w:p>
          <w:p w:rsidR="00814972" w:rsidRPr="00B14D9C" w:rsidRDefault="00814972" w:rsidP="00F306DF">
            <w:pPr>
              <w:rPr>
                <w:sz w:val="24"/>
                <w:szCs w:val="24"/>
              </w:rPr>
            </w:pPr>
            <w:r w:rsidRPr="00B14D9C">
              <w:rPr>
                <w:sz w:val="24"/>
                <w:szCs w:val="24"/>
              </w:rPr>
              <w:t xml:space="preserve">Hvad opdager de? Forlang af eleverne at de laver hypoteser undervejs, når de undersøger ukendte stoffer. </w:t>
            </w:r>
            <w:r w:rsidR="007B35E1" w:rsidRPr="00B14D9C">
              <w:rPr>
                <w:sz w:val="24"/>
                <w:szCs w:val="24"/>
              </w:rPr>
              <w:t xml:space="preserve">Hvilket farveskift gætter de på - og hvorfor? </w:t>
            </w:r>
            <w:r w:rsidR="00F306DF" w:rsidRPr="00B14D9C">
              <w:rPr>
                <w:sz w:val="24"/>
                <w:szCs w:val="24"/>
              </w:rPr>
              <w:t xml:space="preserve"> Hvor på pH-skalaen er vi? </w:t>
            </w:r>
          </w:p>
          <w:p w:rsidR="00F306DF" w:rsidRPr="00B14D9C" w:rsidRDefault="00F306DF" w:rsidP="00F306DF">
            <w:pPr>
              <w:rPr>
                <w:sz w:val="24"/>
                <w:szCs w:val="24"/>
              </w:rPr>
            </w:pPr>
            <w:r w:rsidRPr="00B14D9C">
              <w:rPr>
                <w:sz w:val="24"/>
                <w:szCs w:val="24"/>
              </w:rPr>
              <w:t xml:space="preserve">Som lærer stiller du fortrinsvis spørgsmål i denne fase. </w:t>
            </w:r>
          </w:p>
        </w:tc>
      </w:tr>
      <w:tr w:rsidR="00D87C19" w:rsidTr="003B28FE">
        <w:tc>
          <w:tcPr>
            <w:tcW w:w="1809" w:type="dxa"/>
          </w:tcPr>
          <w:p w:rsidR="00D87C19" w:rsidRPr="00B14D9C" w:rsidRDefault="007B35E1" w:rsidP="00F306DF">
            <w:pPr>
              <w:rPr>
                <w:sz w:val="24"/>
                <w:szCs w:val="24"/>
              </w:rPr>
            </w:pPr>
            <w:r w:rsidRPr="00B14D9C">
              <w:rPr>
                <w:sz w:val="24"/>
                <w:szCs w:val="24"/>
              </w:rPr>
              <w:t>Forklar / formidl</w:t>
            </w:r>
          </w:p>
        </w:tc>
        <w:tc>
          <w:tcPr>
            <w:tcW w:w="8045" w:type="dxa"/>
          </w:tcPr>
          <w:p w:rsidR="00D87C19" w:rsidRPr="00B14D9C" w:rsidRDefault="008D2278" w:rsidP="00F306DF">
            <w:pPr>
              <w:rPr>
                <w:sz w:val="24"/>
                <w:szCs w:val="24"/>
              </w:rPr>
            </w:pPr>
            <w:r>
              <w:rPr>
                <w:sz w:val="24"/>
                <w:szCs w:val="24"/>
              </w:rPr>
              <w:t>- se generelt</w:t>
            </w:r>
          </w:p>
        </w:tc>
      </w:tr>
      <w:tr w:rsidR="00D87C19" w:rsidTr="003B28FE">
        <w:tc>
          <w:tcPr>
            <w:tcW w:w="1809" w:type="dxa"/>
          </w:tcPr>
          <w:p w:rsidR="00D87C19" w:rsidRPr="00B14D9C" w:rsidRDefault="00D87C19" w:rsidP="00F306DF">
            <w:pPr>
              <w:rPr>
                <w:sz w:val="24"/>
                <w:szCs w:val="24"/>
              </w:rPr>
            </w:pPr>
            <w:r w:rsidRPr="00B14D9C">
              <w:rPr>
                <w:sz w:val="24"/>
                <w:szCs w:val="24"/>
              </w:rPr>
              <w:t>Forlæng</w:t>
            </w:r>
          </w:p>
        </w:tc>
        <w:tc>
          <w:tcPr>
            <w:tcW w:w="8045" w:type="dxa"/>
          </w:tcPr>
          <w:p w:rsidR="00F306DF" w:rsidRPr="00B14D9C" w:rsidRDefault="007B35E1" w:rsidP="00F306DF">
            <w:pPr>
              <w:rPr>
                <w:sz w:val="24"/>
                <w:szCs w:val="24"/>
              </w:rPr>
            </w:pPr>
            <w:r w:rsidRPr="00B14D9C">
              <w:rPr>
                <w:sz w:val="24"/>
                <w:szCs w:val="24"/>
              </w:rPr>
              <w:t xml:space="preserve">Måske nogle vil finde ud af hvorfor, indikatoren skifter farve - eller hvordan </w:t>
            </w:r>
            <w:r w:rsidR="00F306DF" w:rsidRPr="00B14D9C">
              <w:rPr>
                <w:sz w:val="24"/>
                <w:szCs w:val="24"/>
              </w:rPr>
              <w:t>n</w:t>
            </w:r>
            <w:r w:rsidRPr="00B14D9C">
              <w:rPr>
                <w:sz w:val="24"/>
                <w:szCs w:val="24"/>
              </w:rPr>
              <w:t>aturen gør brug af farver</w:t>
            </w:r>
            <w:r w:rsidR="00F306DF" w:rsidRPr="00B14D9C">
              <w:rPr>
                <w:sz w:val="24"/>
                <w:szCs w:val="24"/>
              </w:rPr>
              <w:t>, eller noget helt andet</w:t>
            </w:r>
            <w:r w:rsidRPr="00B14D9C">
              <w:rPr>
                <w:sz w:val="24"/>
                <w:szCs w:val="24"/>
              </w:rPr>
              <w:t>....</w:t>
            </w:r>
          </w:p>
          <w:p w:rsidR="007B35E1" w:rsidRPr="00B14D9C" w:rsidRDefault="007B35E1" w:rsidP="00F306DF">
            <w:pPr>
              <w:rPr>
                <w:sz w:val="24"/>
                <w:szCs w:val="24"/>
              </w:rPr>
            </w:pPr>
            <w:r w:rsidRPr="00B14D9C">
              <w:rPr>
                <w:sz w:val="24"/>
                <w:szCs w:val="24"/>
              </w:rPr>
              <w:t>Nedenstående kan måske lede på ve</w:t>
            </w:r>
            <w:r w:rsidR="00F306DF" w:rsidRPr="00B14D9C">
              <w:rPr>
                <w:sz w:val="24"/>
                <w:szCs w:val="24"/>
              </w:rPr>
              <w:t>j</w:t>
            </w:r>
            <w:r w:rsidRPr="00B14D9C">
              <w:rPr>
                <w:sz w:val="24"/>
                <w:szCs w:val="24"/>
              </w:rPr>
              <w:t>.</w:t>
            </w:r>
          </w:p>
          <w:p w:rsidR="00814972" w:rsidRPr="00B14D9C" w:rsidRDefault="00814972" w:rsidP="00F306DF">
            <w:pPr>
              <w:rPr>
                <w:sz w:val="24"/>
                <w:szCs w:val="24"/>
              </w:rPr>
            </w:pPr>
            <w:r w:rsidRPr="00B14D9C">
              <w:rPr>
                <w:sz w:val="24"/>
                <w:szCs w:val="24"/>
              </w:rPr>
              <w:t>http://www.science.ku.dk/naturligvis/goer_det_selv/gds_kemi/roedkaal/</w:t>
            </w:r>
          </w:p>
          <w:p w:rsidR="00814972" w:rsidRPr="00B14D9C" w:rsidRDefault="00814972" w:rsidP="00F306DF">
            <w:pPr>
              <w:rPr>
                <w:sz w:val="24"/>
                <w:szCs w:val="24"/>
              </w:rPr>
            </w:pPr>
            <w:r w:rsidRPr="00B14D9C">
              <w:rPr>
                <w:sz w:val="24"/>
                <w:szCs w:val="24"/>
              </w:rPr>
              <w:t>http://www.emu.dk/gsk/fag/fys/upload/sodt_laerer.pdf</w:t>
            </w:r>
          </w:p>
          <w:p w:rsidR="00D87C19" w:rsidRPr="00B14D9C" w:rsidRDefault="00D87C19" w:rsidP="00F306DF">
            <w:pPr>
              <w:rPr>
                <w:sz w:val="24"/>
                <w:szCs w:val="24"/>
              </w:rPr>
            </w:pPr>
            <w:r w:rsidRPr="00B14D9C">
              <w:rPr>
                <w:sz w:val="24"/>
                <w:szCs w:val="24"/>
              </w:rPr>
              <w:t>http://www.pihlnet.com/kemisk_analyse/indikator_rodkal.pdf</w:t>
            </w:r>
          </w:p>
        </w:tc>
      </w:tr>
    </w:tbl>
    <w:p w:rsidR="00F306DF" w:rsidRDefault="00F306DF" w:rsidP="008D2278">
      <w:pPr>
        <w:spacing w:after="0" w:line="240" w:lineRule="auto"/>
        <w:rPr>
          <w:sz w:val="20"/>
          <w:szCs w:val="20"/>
        </w:rPr>
      </w:pPr>
    </w:p>
    <w:sectPr w:rsidR="00F306DF" w:rsidSect="008D2278">
      <w:pgSz w:w="11906" w:h="16838"/>
      <w:pgMar w:top="1701" w:right="1134"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D31AA"/>
    <w:multiLevelType w:val="hybridMultilevel"/>
    <w:tmpl w:val="69A094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1304"/>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80"/>
    <w:rsid w:val="00071CBF"/>
    <w:rsid w:val="00256353"/>
    <w:rsid w:val="00292C80"/>
    <w:rsid w:val="003B28FE"/>
    <w:rsid w:val="00530134"/>
    <w:rsid w:val="007B35E1"/>
    <w:rsid w:val="00814972"/>
    <w:rsid w:val="008D2278"/>
    <w:rsid w:val="00950F1D"/>
    <w:rsid w:val="009E30F0"/>
    <w:rsid w:val="00A45AAC"/>
    <w:rsid w:val="00A86FCE"/>
    <w:rsid w:val="00B14D9C"/>
    <w:rsid w:val="00CB2637"/>
    <w:rsid w:val="00D85BAD"/>
    <w:rsid w:val="00D87C19"/>
    <w:rsid w:val="00F306DF"/>
    <w:rsid w:val="00F566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C32E1-FD6E-4F7C-B374-2FF2A448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29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87C19"/>
    <w:pPr>
      <w:ind w:left="720"/>
      <w:contextualSpacing/>
    </w:pPr>
  </w:style>
  <w:style w:type="character" w:styleId="Hyperlink">
    <w:name w:val="Hyperlink"/>
    <w:basedOn w:val="Standardskrifttypeiafsnit"/>
    <w:uiPriority w:val="99"/>
    <w:rsid w:val="0081497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rmidling.dk/sw41095.asp?experimentId=1082&amp;postback=1&amp;searchText-=r%F8dk%E5l&amp;searchArea=&amp;searchTeacherAssistance=&amp;searchRoom=&amp;searchTime=&amp;-searchClass=&amp;searchSubject"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Helles PC</dc:creator>
  <cp:lastModifiedBy>Lone Skafte</cp:lastModifiedBy>
  <cp:revision>2</cp:revision>
  <dcterms:created xsi:type="dcterms:W3CDTF">2018-07-26T09:51:00Z</dcterms:created>
  <dcterms:modified xsi:type="dcterms:W3CDTF">2018-07-26T09:51:00Z</dcterms:modified>
</cp:coreProperties>
</file>