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1" w:rightFromText="141" w:horzAnchor="margin" w:tblpY="-555"/>
        <w:tblW w:w="0" w:type="auto"/>
        <w:tblLayout w:type="fixed"/>
        <w:tblLook w:val="04A0" w:firstRow="1" w:lastRow="0" w:firstColumn="1" w:lastColumn="0" w:noHBand="0" w:noVBand="1"/>
      </w:tblPr>
      <w:tblGrid>
        <w:gridCol w:w="1809"/>
        <w:gridCol w:w="8045"/>
      </w:tblGrid>
      <w:tr w:rsidR="00F306DF" w:rsidTr="003B28FE">
        <w:tc>
          <w:tcPr>
            <w:tcW w:w="1809" w:type="dxa"/>
          </w:tcPr>
          <w:p w:rsidR="00292C80" w:rsidRPr="00292C80" w:rsidRDefault="00292C80" w:rsidP="00F306DF">
            <w:bookmarkStart w:id="0" w:name="_GoBack"/>
            <w:bookmarkEnd w:id="0"/>
            <w:r w:rsidRPr="00292C80">
              <w:rPr>
                <w:rFonts w:ascii="Calibri" w:hAnsi="Calibri" w:cs="Calibri"/>
                <w:bCs/>
                <w:sz w:val="24"/>
                <w:szCs w:val="24"/>
              </w:rPr>
              <w:t xml:space="preserve">Emne </w:t>
            </w:r>
          </w:p>
        </w:tc>
        <w:tc>
          <w:tcPr>
            <w:tcW w:w="8045" w:type="dxa"/>
          </w:tcPr>
          <w:p w:rsidR="00292C80" w:rsidRDefault="00F97DB1" w:rsidP="008D2278">
            <w:pPr>
              <w:tabs>
                <w:tab w:val="left" w:pos="1590"/>
              </w:tabs>
              <w:jc w:val="center"/>
              <w:rPr>
                <w:rFonts w:ascii="Calibri" w:hAnsi="Calibri" w:cs="Calibri"/>
                <w:b/>
                <w:sz w:val="32"/>
                <w:szCs w:val="32"/>
              </w:rPr>
            </w:pPr>
            <w:r>
              <w:rPr>
                <w:rFonts w:ascii="Calibri" w:hAnsi="Calibri" w:cs="Calibri"/>
                <w:b/>
                <w:sz w:val="32"/>
                <w:szCs w:val="32"/>
              </w:rPr>
              <w:t>Naturvidenskab i legetøj</w:t>
            </w:r>
          </w:p>
          <w:p w:rsidR="008D2278" w:rsidRPr="008D2278" w:rsidRDefault="008D2278" w:rsidP="008D2278">
            <w:pPr>
              <w:tabs>
                <w:tab w:val="left" w:pos="1590"/>
              </w:tabs>
              <w:jc w:val="center"/>
              <w:rPr>
                <w:sz w:val="32"/>
                <w:szCs w:val="32"/>
              </w:rPr>
            </w:pPr>
            <w:r w:rsidRPr="008D2278">
              <w:rPr>
                <w:rFonts w:ascii="Calibri" w:hAnsi="Calibri" w:cs="Calibri"/>
                <w:sz w:val="32"/>
                <w:szCs w:val="32"/>
              </w:rPr>
              <w:t>- se også de generelle kommentarer</w:t>
            </w:r>
          </w:p>
        </w:tc>
      </w:tr>
      <w:tr w:rsidR="00F306DF" w:rsidTr="003B28FE">
        <w:tc>
          <w:tcPr>
            <w:tcW w:w="1809" w:type="dxa"/>
          </w:tcPr>
          <w:p w:rsidR="00F56647" w:rsidRDefault="00292C80" w:rsidP="00F306DF">
            <w:pPr>
              <w:rPr>
                <w:rFonts w:ascii="Calibri" w:hAnsi="Calibri" w:cs="Calibri"/>
                <w:bCs/>
                <w:sz w:val="24"/>
                <w:szCs w:val="24"/>
              </w:rPr>
            </w:pPr>
            <w:r w:rsidRPr="00B14D9C">
              <w:rPr>
                <w:rFonts w:ascii="Calibri" w:hAnsi="Calibri" w:cs="Calibri"/>
                <w:bCs/>
                <w:sz w:val="24"/>
                <w:szCs w:val="24"/>
              </w:rPr>
              <w:t>Mål</w:t>
            </w:r>
            <w:r w:rsidR="00F56647">
              <w:rPr>
                <w:rFonts w:ascii="Calibri" w:hAnsi="Calibri" w:cs="Calibri"/>
                <w:bCs/>
                <w:sz w:val="24"/>
                <w:szCs w:val="24"/>
              </w:rPr>
              <w:t>-</w:t>
            </w:r>
          </w:p>
          <w:p w:rsidR="00292C80" w:rsidRPr="00B14D9C" w:rsidRDefault="00292C80" w:rsidP="00F306DF">
            <w:pPr>
              <w:rPr>
                <w:sz w:val="24"/>
                <w:szCs w:val="24"/>
              </w:rPr>
            </w:pPr>
            <w:r w:rsidRPr="00B14D9C">
              <w:rPr>
                <w:rFonts w:ascii="Calibri" w:hAnsi="Calibri" w:cs="Calibri"/>
                <w:bCs/>
                <w:sz w:val="24"/>
                <w:szCs w:val="24"/>
              </w:rPr>
              <w:t>gruppe</w:t>
            </w:r>
          </w:p>
        </w:tc>
        <w:tc>
          <w:tcPr>
            <w:tcW w:w="8045" w:type="dxa"/>
          </w:tcPr>
          <w:p w:rsidR="00292C80" w:rsidRPr="004434C1" w:rsidRDefault="008951FB" w:rsidP="00246E8E">
            <w:r w:rsidRPr="004434C1">
              <w:rPr>
                <w:rFonts w:ascii="Calibri" w:hAnsi="Calibri" w:cs="Calibri"/>
              </w:rPr>
              <w:t>Formidlingsagenter – små</w:t>
            </w:r>
            <w:r w:rsidR="00292C80" w:rsidRPr="004434C1">
              <w:rPr>
                <w:rFonts w:ascii="Calibri" w:hAnsi="Calibri" w:cs="Calibri"/>
              </w:rPr>
              <w:t xml:space="preserve"> </w:t>
            </w:r>
          </w:p>
        </w:tc>
      </w:tr>
      <w:tr w:rsidR="00F306DF" w:rsidTr="003B28FE">
        <w:tc>
          <w:tcPr>
            <w:tcW w:w="1809" w:type="dxa"/>
          </w:tcPr>
          <w:p w:rsidR="00F56647" w:rsidRDefault="00292C80" w:rsidP="00F306DF">
            <w:pPr>
              <w:rPr>
                <w:rFonts w:ascii="Calibri" w:hAnsi="Calibri" w:cs="Calibri"/>
                <w:bCs/>
                <w:sz w:val="24"/>
                <w:szCs w:val="24"/>
              </w:rPr>
            </w:pPr>
            <w:r w:rsidRPr="00B14D9C">
              <w:rPr>
                <w:rFonts w:ascii="Calibri" w:hAnsi="Calibri" w:cs="Calibri"/>
                <w:bCs/>
                <w:sz w:val="24"/>
                <w:szCs w:val="24"/>
              </w:rPr>
              <w:t>Fag</w:t>
            </w:r>
            <w:r w:rsidR="003B28FE">
              <w:rPr>
                <w:rFonts w:ascii="Calibri" w:hAnsi="Calibri" w:cs="Calibri"/>
                <w:bCs/>
                <w:sz w:val="24"/>
                <w:szCs w:val="24"/>
              </w:rPr>
              <w:t>-</w:t>
            </w:r>
          </w:p>
          <w:p w:rsidR="00292C80" w:rsidRPr="00B14D9C" w:rsidRDefault="00292C80" w:rsidP="00F306DF">
            <w:pPr>
              <w:rPr>
                <w:sz w:val="24"/>
                <w:szCs w:val="24"/>
              </w:rPr>
            </w:pPr>
            <w:r w:rsidRPr="00B14D9C">
              <w:rPr>
                <w:rFonts w:ascii="Calibri" w:hAnsi="Calibri" w:cs="Calibri"/>
                <w:bCs/>
                <w:sz w:val="24"/>
                <w:szCs w:val="24"/>
              </w:rPr>
              <w:t>område</w:t>
            </w:r>
          </w:p>
        </w:tc>
        <w:tc>
          <w:tcPr>
            <w:tcW w:w="8045" w:type="dxa"/>
          </w:tcPr>
          <w:p w:rsidR="00292C80" w:rsidRPr="004434C1" w:rsidRDefault="008951FB" w:rsidP="00F306DF">
            <w:r w:rsidRPr="004434C1">
              <w:rPr>
                <w:rFonts w:ascii="Calibri" w:hAnsi="Calibri" w:cs="Calibri"/>
              </w:rPr>
              <w:t xml:space="preserve">Natur/teknik </w:t>
            </w:r>
          </w:p>
        </w:tc>
      </w:tr>
      <w:tr w:rsidR="00F306DF" w:rsidTr="003B28FE">
        <w:tc>
          <w:tcPr>
            <w:tcW w:w="1809" w:type="dxa"/>
          </w:tcPr>
          <w:p w:rsidR="00292C80" w:rsidRPr="00B14D9C" w:rsidRDefault="00292C80" w:rsidP="00F306DF">
            <w:pPr>
              <w:rPr>
                <w:sz w:val="24"/>
                <w:szCs w:val="24"/>
              </w:rPr>
            </w:pPr>
            <w:r w:rsidRPr="00B14D9C">
              <w:rPr>
                <w:rFonts w:ascii="Calibri" w:hAnsi="Calibri" w:cs="Calibri"/>
                <w:bCs/>
                <w:sz w:val="24"/>
                <w:szCs w:val="24"/>
              </w:rPr>
              <w:t xml:space="preserve">Mål  </w:t>
            </w:r>
          </w:p>
        </w:tc>
        <w:tc>
          <w:tcPr>
            <w:tcW w:w="8045" w:type="dxa"/>
          </w:tcPr>
          <w:p w:rsidR="00F97DB1" w:rsidRPr="004434C1" w:rsidRDefault="00F97DB1" w:rsidP="00F97DB1">
            <w:r w:rsidRPr="004434C1">
              <w:t>Eleverne skal kunne anvende enkle naturfaglige begreber til at beskrive hverdagens fænomener</w:t>
            </w:r>
            <w:r w:rsidR="00373ED6" w:rsidRPr="004434C1">
              <w:t xml:space="preserve">. </w:t>
            </w:r>
            <w:r w:rsidRPr="004434C1">
              <w:t>Eleverne skal have mulighed for sortere, udvælge og anvende materialer og stoffer - både syntetiske og naturskabte. Og de skal kunne redegøre for eksempler på ressourcer og anvendelse af teknik</w:t>
            </w:r>
            <w:r w:rsidR="00373ED6" w:rsidRPr="004434C1">
              <w:t xml:space="preserve"> og teknisk viden i deres hverdag. </w:t>
            </w:r>
          </w:p>
          <w:p w:rsidR="00F97DB1" w:rsidRPr="004434C1" w:rsidRDefault="00F97DB1" w:rsidP="00755F8F"/>
        </w:tc>
      </w:tr>
      <w:tr w:rsidR="00F306DF" w:rsidTr="003B28FE">
        <w:tc>
          <w:tcPr>
            <w:tcW w:w="1809" w:type="dxa"/>
          </w:tcPr>
          <w:p w:rsidR="00292C80" w:rsidRPr="00B14D9C" w:rsidRDefault="00292C80" w:rsidP="00F306DF">
            <w:pPr>
              <w:rPr>
                <w:b/>
                <w:sz w:val="24"/>
                <w:szCs w:val="24"/>
              </w:rPr>
            </w:pPr>
            <w:r w:rsidRPr="00B14D9C">
              <w:rPr>
                <w:b/>
                <w:sz w:val="24"/>
                <w:szCs w:val="24"/>
              </w:rPr>
              <w:t>Fase 1</w:t>
            </w:r>
          </w:p>
          <w:p w:rsidR="00292C80" w:rsidRPr="00B14D9C" w:rsidRDefault="00292C80" w:rsidP="00F306DF">
            <w:pPr>
              <w:rPr>
                <w:sz w:val="24"/>
                <w:szCs w:val="24"/>
              </w:rPr>
            </w:pPr>
            <w:r w:rsidRPr="00B14D9C">
              <w:rPr>
                <w:sz w:val="24"/>
                <w:szCs w:val="24"/>
              </w:rPr>
              <w:t>(intro / fang)</w:t>
            </w:r>
          </w:p>
        </w:tc>
        <w:tc>
          <w:tcPr>
            <w:tcW w:w="8045" w:type="dxa"/>
          </w:tcPr>
          <w:p w:rsidR="00EE5326" w:rsidRPr="004434C1" w:rsidRDefault="00373ED6" w:rsidP="00755F8F">
            <w:pPr>
              <w:rPr>
                <w:rFonts w:ascii="Calibri" w:hAnsi="Calibri"/>
                <w:bCs/>
              </w:rPr>
            </w:pPr>
            <w:r w:rsidRPr="004434C1">
              <w:rPr>
                <w:rFonts w:ascii="Calibri" w:hAnsi="Calibri"/>
                <w:bCs/>
              </w:rPr>
              <w:t xml:space="preserve">Vi tog kontakt til den lokale børnehave, Abels Hus. Vi lånte lidt forskelligt legetøj med retur til skolen. Og vi supplerede med lidt forskelligt, så vi havde et større udvalg af enkle dele. Vi viste agenterne legetøjet og lod dem studere det. Efterfølgende fortalte vi dem, at de nu fik en formidlingsmission i børnehaven, hvor de skulle forklare hvordan legetøjet virkede.  </w:t>
            </w:r>
          </w:p>
          <w:p w:rsidR="00373ED6" w:rsidRPr="004434C1" w:rsidRDefault="00373ED6" w:rsidP="00755F8F"/>
        </w:tc>
      </w:tr>
      <w:tr w:rsidR="00F306DF" w:rsidTr="003B28FE">
        <w:tc>
          <w:tcPr>
            <w:tcW w:w="1809" w:type="dxa"/>
          </w:tcPr>
          <w:p w:rsidR="00292C80" w:rsidRPr="00B14D9C" w:rsidRDefault="00292C80" w:rsidP="00F306DF">
            <w:pPr>
              <w:rPr>
                <w:b/>
                <w:sz w:val="24"/>
                <w:szCs w:val="24"/>
              </w:rPr>
            </w:pPr>
            <w:r w:rsidRPr="00B14D9C">
              <w:rPr>
                <w:b/>
                <w:sz w:val="24"/>
                <w:szCs w:val="24"/>
              </w:rPr>
              <w:t>Fase 2</w:t>
            </w:r>
          </w:p>
          <w:p w:rsidR="00F306DF" w:rsidRPr="00B14D9C" w:rsidRDefault="00D87C19" w:rsidP="00F306DF">
            <w:pPr>
              <w:rPr>
                <w:sz w:val="24"/>
                <w:szCs w:val="24"/>
              </w:rPr>
            </w:pPr>
            <w:r w:rsidRPr="00B14D9C">
              <w:rPr>
                <w:sz w:val="24"/>
                <w:szCs w:val="24"/>
              </w:rPr>
              <w:t>(</w:t>
            </w:r>
            <w:r w:rsidR="00F306DF" w:rsidRPr="00B14D9C">
              <w:rPr>
                <w:sz w:val="24"/>
                <w:szCs w:val="24"/>
              </w:rPr>
              <w:t>fundament/</w:t>
            </w:r>
          </w:p>
          <w:p w:rsidR="00D87C19" w:rsidRPr="00B14D9C" w:rsidRDefault="00D87C19" w:rsidP="00F306DF">
            <w:pPr>
              <w:rPr>
                <w:sz w:val="24"/>
                <w:szCs w:val="24"/>
              </w:rPr>
            </w:pPr>
            <w:r w:rsidRPr="00B14D9C">
              <w:rPr>
                <w:sz w:val="24"/>
                <w:szCs w:val="24"/>
              </w:rPr>
              <w:t>forudsætning)</w:t>
            </w:r>
          </w:p>
        </w:tc>
        <w:tc>
          <w:tcPr>
            <w:tcW w:w="8045" w:type="dxa"/>
          </w:tcPr>
          <w:p w:rsidR="001E2A40" w:rsidRPr="004434C1" w:rsidRDefault="00373ED6" w:rsidP="00755F8F">
            <w:r w:rsidRPr="004434C1">
              <w:t xml:space="preserve">Fra forløbet om "lys og spøgelser" havde eleverne en god viden om refraktion og refleksion (det skulle de fx bruge til at forklare børnehavebørnene i forbindelse med legetøj som </w:t>
            </w:r>
            <w:r w:rsidR="002808F7" w:rsidRPr="004434C1">
              <w:t xml:space="preserve">skyggelommelygte, </w:t>
            </w:r>
            <w:r w:rsidRPr="004434C1">
              <w:t xml:space="preserve">kalejdoskop og periskop).  To typer legetøj </w:t>
            </w:r>
            <w:r w:rsidR="001E2A40" w:rsidRPr="004434C1">
              <w:t xml:space="preserve">- </w:t>
            </w:r>
            <w:r w:rsidRPr="004434C1">
              <w:t>en vægt med nogle forskellige plas</w:t>
            </w:r>
            <w:r w:rsidR="00550CAF" w:rsidRPr="004434C1">
              <w:t xml:space="preserve">tbamser </w:t>
            </w:r>
            <w:r w:rsidRPr="004434C1">
              <w:t xml:space="preserve">og en </w:t>
            </w:r>
            <w:r w:rsidR="00550CAF" w:rsidRPr="004434C1">
              <w:t xml:space="preserve">balancerende </w:t>
            </w:r>
            <w:r w:rsidR="002808F7" w:rsidRPr="004434C1">
              <w:t>plast</w:t>
            </w:r>
            <w:r w:rsidRPr="004434C1">
              <w:t>fu</w:t>
            </w:r>
            <w:r w:rsidR="00550CAF" w:rsidRPr="004434C1">
              <w:t xml:space="preserve">gl </w:t>
            </w:r>
            <w:r w:rsidR="002808F7" w:rsidRPr="004434C1">
              <w:t xml:space="preserve">(se en tilsvarende her: </w:t>
            </w:r>
            <w:r w:rsidR="00550CAF" w:rsidRPr="004434C1">
              <w:t>https://www.youtube.com/watch?v=ERaFRY3Uc1Y)</w:t>
            </w:r>
            <w:r w:rsidR="001E2A40" w:rsidRPr="004434C1">
              <w:t xml:space="preserve"> -</w:t>
            </w:r>
            <w:r w:rsidR="002808F7" w:rsidRPr="004434C1">
              <w:t xml:space="preserve"> kunne forklares ved forståelse af tyngdepunkt og ligevægt.</w:t>
            </w:r>
            <w:r w:rsidR="001E2A40" w:rsidRPr="004434C1">
              <w:t>.</w:t>
            </w:r>
          </w:p>
          <w:p w:rsidR="001E2A40" w:rsidRPr="004434C1" w:rsidRDefault="001E2A40" w:rsidP="00755F8F">
            <w:r w:rsidRPr="004434C1">
              <w:t xml:space="preserve">Fremdrift ved nogle små biler kunne sammenlignes med raketprincippet, som eleverne kendte i forvejen (aktion lig reaktion).  Her kom vi også ind på energioverførsel. </w:t>
            </w:r>
          </w:p>
          <w:p w:rsidR="001E2A40" w:rsidRPr="004434C1" w:rsidRDefault="001E2A40" w:rsidP="00755F8F">
            <w:r w:rsidRPr="004434C1">
              <w:t xml:space="preserve">Det samme gjaldt </w:t>
            </w:r>
            <w:r w:rsidR="002808F7" w:rsidRPr="004434C1">
              <w:t xml:space="preserve">en lille karrusel og nogle </w:t>
            </w:r>
            <w:r w:rsidRPr="004434C1">
              <w:t>vandpistole</w:t>
            </w:r>
            <w:r w:rsidR="002808F7" w:rsidRPr="004434C1">
              <w:t>r</w:t>
            </w:r>
            <w:r w:rsidRPr="004434C1">
              <w:t xml:space="preserve">, hvor også tryk </w:t>
            </w:r>
            <w:r w:rsidR="002808F7" w:rsidRPr="004434C1">
              <w:t xml:space="preserve">blev berørt (køb helst gennemsigtige vandpistoler, så eleverne kan se vandets vej). </w:t>
            </w:r>
          </w:p>
          <w:p w:rsidR="00567A03" w:rsidRPr="004434C1" w:rsidRDefault="00567A03" w:rsidP="00755F8F">
            <w:r w:rsidRPr="004434C1">
              <w:t>En vandfløjte viste sig at være meget tidskrævend</w:t>
            </w:r>
            <w:r w:rsidR="004434C1" w:rsidRPr="004434C1">
              <w:t xml:space="preserve">e, da eleverne ikke havde nogle </w:t>
            </w:r>
            <w:r w:rsidRPr="004434C1">
              <w:t xml:space="preserve">forudsætninger for at forstå og forklare lyd. </w:t>
            </w:r>
          </w:p>
          <w:p w:rsidR="001E2A40" w:rsidRPr="004434C1" w:rsidRDefault="002808F7" w:rsidP="00755F8F">
            <w:r w:rsidRPr="004434C1">
              <w:t>Overfladespænding blev også relevant, da påfyldningshullet i vandpistolerne var så lille, at de i starten slet ikke kunne få vandstrålen lille nok til en påfyldning.</w:t>
            </w:r>
          </w:p>
          <w:p w:rsidR="002808F7" w:rsidRDefault="002808F7" w:rsidP="002808F7">
            <w:r w:rsidRPr="004434C1">
              <w:t xml:space="preserve">De nye fagord kom på tavlen og eleverne diskuterede, hvordan de havde forstået begreberne. Alt var ultra kort </w:t>
            </w:r>
            <w:r w:rsidR="00373ED6" w:rsidRPr="004434C1">
              <w:t>forkl</w:t>
            </w:r>
            <w:r w:rsidR="001E2A40" w:rsidRPr="004434C1">
              <w:t>are</w:t>
            </w:r>
            <w:r w:rsidRPr="004434C1">
              <w:t xml:space="preserve">t, men alligevel nok til, at eleverne </w:t>
            </w:r>
            <w:r w:rsidR="001E2A40" w:rsidRPr="004434C1">
              <w:t xml:space="preserve">selv kunne søge videre.  </w:t>
            </w:r>
          </w:p>
          <w:p w:rsidR="004434C1" w:rsidRPr="004434C1" w:rsidRDefault="004434C1" w:rsidP="002808F7"/>
        </w:tc>
      </w:tr>
      <w:tr w:rsidR="00F306DF" w:rsidTr="003B28FE">
        <w:tc>
          <w:tcPr>
            <w:tcW w:w="1809" w:type="dxa"/>
          </w:tcPr>
          <w:p w:rsidR="00292C80" w:rsidRPr="00B14D9C" w:rsidRDefault="00D87C19" w:rsidP="00F306DF">
            <w:pPr>
              <w:rPr>
                <w:b/>
                <w:sz w:val="24"/>
                <w:szCs w:val="24"/>
              </w:rPr>
            </w:pPr>
            <w:r w:rsidRPr="00B14D9C">
              <w:rPr>
                <w:b/>
                <w:sz w:val="24"/>
                <w:szCs w:val="24"/>
              </w:rPr>
              <w:t>Fase 3</w:t>
            </w:r>
          </w:p>
          <w:p w:rsidR="00F306DF" w:rsidRPr="00B14D9C" w:rsidRDefault="00F306DF" w:rsidP="00F306DF">
            <w:pPr>
              <w:rPr>
                <w:sz w:val="24"/>
                <w:szCs w:val="24"/>
              </w:rPr>
            </w:pPr>
            <w:r w:rsidRPr="00B14D9C">
              <w:rPr>
                <w:sz w:val="24"/>
                <w:szCs w:val="24"/>
              </w:rPr>
              <w:t>(forsk)</w:t>
            </w:r>
          </w:p>
        </w:tc>
        <w:tc>
          <w:tcPr>
            <w:tcW w:w="8045" w:type="dxa"/>
          </w:tcPr>
          <w:p w:rsidR="00567A03" w:rsidRPr="004434C1" w:rsidRDefault="002808F7" w:rsidP="002808F7">
            <w:r w:rsidRPr="004434C1">
              <w:t xml:space="preserve">Herefter valgte de (to og to) et stykke legetøj, som de ville gå i dybden med. Alt skulle desuden forklares med egne modeller og </w:t>
            </w:r>
            <w:r w:rsidR="00567A03" w:rsidRPr="004434C1">
              <w:t>demo</w:t>
            </w:r>
            <w:r w:rsidRPr="004434C1">
              <w:t>forsøg. For at demonstrere fx kalejdoskopet, fik de således spejle og perler til rådighed</w:t>
            </w:r>
            <w:r w:rsidR="00677321" w:rsidRPr="004434C1">
              <w:t xml:space="preserve">. Til den </w:t>
            </w:r>
            <w:r w:rsidR="00567A03" w:rsidRPr="004434C1">
              <w:t xml:space="preserve">lille vandfløjte  var der almindelige fløjter og sugerør </w:t>
            </w:r>
            <w:r w:rsidR="00677321" w:rsidRPr="004434C1">
              <w:t xml:space="preserve">(simpelt forsøg her: </w:t>
            </w:r>
            <w:r w:rsidR="00567A03" w:rsidRPr="004434C1">
              <w:t>https://www.youtube.com/watch?v=oP2O9O7xOio</w:t>
            </w:r>
            <w:r w:rsidR="00677321" w:rsidRPr="004434C1">
              <w:t xml:space="preserve"> )</w:t>
            </w:r>
          </w:p>
          <w:p w:rsidR="00567A03" w:rsidRDefault="00677321" w:rsidP="002808F7">
            <w:r w:rsidRPr="004434C1">
              <w:t xml:space="preserve">Forskellige opslagsbøger og computere med netadgang var i brug, da de skulle i dybden med legetøjet. </w:t>
            </w:r>
          </w:p>
          <w:p w:rsidR="004434C1" w:rsidRPr="004434C1" w:rsidRDefault="004434C1" w:rsidP="002808F7"/>
        </w:tc>
      </w:tr>
      <w:tr w:rsidR="00D87C19" w:rsidTr="003B28FE">
        <w:tc>
          <w:tcPr>
            <w:tcW w:w="1809" w:type="dxa"/>
          </w:tcPr>
          <w:p w:rsidR="00D87C19" w:rsidRPr="00B14D9C" w:rsidRDefault="007B35E1" w:rsidP="00F306DF">
            <w:pPr>
              <w:rPr>
                <w:sz w:val="24"/>
                <w:szCs w:val="24"/>
              </w:rPr>
            </w:pPr>
            <w:r w:rsidRPr="00B14D9C">
              <w:rPr>
                <w:sz w:val="24"/>
                <w:szCs w:val="24"/>
              </w:rPr>
              <w:t>Forklar / formidl</w:t>
            </w:r>
          </w:p>
        </w:tc>
        <w:tc>
          <w:tcPr>
            <w:tcW w:w="8045" w:type="dxa"/>
          </w:tcPr>
          <w:p w:rsidR="00373ED6" w:rsidRDefault="002808F7" w:rsidP="00677321">
            <w:r w:rsidRPr="004434C1">
              <w:t>De havde brug for længere tid til fordybelsen end vi havd</w:t>
            </w:r>
            <w:r w:rsidR="00677321" w:rsidRPr="004434C1">
              <w:t xml:space="preserve">e </w:t>
            </w:r>
            <w:r w:rsidRPr="004434C1">
              <w:t>regnet med</w:t>
            </w:r>
            <w:r w:rsidR="00677321" w:rsidRPr="004434C1">
              <w:t xml:space="preserve"> (3 x 2 timer), men det var også en udfordring for dem, at de skulle forklare det for meget små børn.  Til gengæld var de ret stolte da det lykkedes. </w:t>
            </w:r>
          </w:p>
          <w:p w:rsidR="004434C1" w:rsidRPr="004434C1" w:rsidRDefault="004434C1" w:rsidP="00677321"/>
        </w:tc>
      </w:tr>
      <w:tr w:rsidR="00D87C19" w:rsidTr="003B28FE">
        <w:tc>
          <w:tcPr>
            <w:tcW w:w="1809" w:type="dxa"/>
          </w:tcPr>
          <w:p w:rsidR="00D87C19" w:rsidRPr="00B14D9C" w:rsidRDefault="00D87C19" w:rsidP="00F306DF">
            <w:pPr>
              <w:rPr>
                <w:sz w:val="24"/>
                <w:szCs w:val="24"/>
              </w:rPr>
            </w:pPr>
            <w:r w:rsidRPr="00B14D9C">
              <w:rPr>
                <w:sz w:val="24"/>
                <w:szCs w:val="24"/>
              </w:rPr>
              <w:t>Forlæng</w:t>
            </w:r>
          </w:p>
        </w:tc>
        <w:tc>
          <w:tcPr>
            <w:tcW w:w="8045" w:type="dxa"/>
          </w:tcPr>
          <w:p w:rsidR="00373ED6" w:rsidRDefault="00677321" w:rsidP="002A260A">
            <w:r w:rsidRPr="004434C1">
              <w:t>De var ikke motiveret for at gå yderligere i dybden med deres "legetøj", men de havde fået en god huskekrog på begreberne og de ville gerne prøve igen med nyt legetøj.</w:t>
            </w:r>
          </w:p>
          <w:p w:rsidR="004434C1" w:rsidRPr="004434C1" w:rsidRDefault="004434C1" w:rsidP="002A260A"/>
        </w:tc>
      </w:tr>
    </w:tbl>
    <w:p w:rsidR="00F306DF" w:rsidRDefault="00F306DF" w:rsidP="00B7446C">
      <w:pPr>
        <w:spacing w:after="0" w:line="240" w:lineRule="auto"/>
        <w:rPr>
          <w:sz w:val="20"/>
          <w:szCs w:val="20"/>
        </w:rPr>
      </w:pPr>
    </w:p>
    <w:sectPr w:rsidR="00F306DF" w:rsidSect="004434C1">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1402"/>
    <w:multiLevelType w:val="hybridMultilevel"/>
    <w:tmpl w:val="EAD48D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86D31AA"/>
    <w:multiLevelType w:val="hybridMultilevel"/>
    <w:tmpl w:val="69A09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130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80"/>
    <w:rsid w:val="00071CBF"/>
    <w:rsid w:val="000C57AE"/>
    <w:rsid w:val="000E7B23"/>
    <w:rsid w:val="000F0A61"/>
    <w:rsid w:val="001E2A40"/>
    <w:rsid w:val="00246E8E"/>
    <w:rsid w:val="00256353"/>
    <w:rsid w:val="002808F7"/>
    <w:rsid w:val="00292C80"/>
    <w:rsid w:val="002A260A"/>
    <w:rsid w:val="00373ED6"/>
    <w:rsid w:val="003B28FE"/>
    <w:rsid w:val="00440953"/>
    <w:rsid w:val="004434C1"/>
    <w:rsid w:val="004A1CD3"/>
    <w:rsid w:val="00530134"/>
    <w:rsid w:val="00550CAF"/>
    <w:rsid w:val="00567A03"/>
    <w:rsid w:val="00674438"/>
    <w:rsid w:val="00677321"/>
    <w:rsid w:val="00755F8F"/>
    <w:rsid w:val="007B35E1"/>
    <w:rsid w:val="00814972"/>
    <w:rsid w:val="008951FB"/>
    <w:rsid w:val="008D2278"/>
    <w:rsid w:val="00911115"/>
    <w:rsid w:val="00950F1D"/>
    <w:rsid w:val="00954A93"/>
    <w:rsid w:val="009B7AD8"/>
    <w:rsid w:val="009E30F0"/>
    <w:rsid w:val="00A45AAC"/>
    <w:rsid w:val="00A522E5"/>
    <w:rsid w:val="00A756B9"/>
    <w:rsid w:val="00B14D9C"/>
    <w:rsid w:val="00B7446C"/>
    <w:rsid w:val="00BE1EC2"/>
    <w:rsid w:val="00C1481C"/>
    <w:rsid w:val="00C549D5"/>
    <w:rsid w:val="00CB2637"/>
    <w:rsid w:val="00D62364"/>
    <w:rsid w:val="00D87C19"/>
    <w:rsid w:val="00E11A26"/>
    <w:rsid w:val="00E22852"/>
    <w:rsid w:val="00EE5326"/>
    <w:rsid w:val="00F306DF"/>
    <w:rsid w:val="00F36D04"/>
    <w:rsid w:val="00F56647"/>
    <w:rsid w:val="00F97D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FFDD3-2F16-478D-8F6B-64956490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29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87C19"/>
    <w:pPr>
      <w:ind w:left="720"/>
      <w:contextualSpacing/>
    </w:pPr>
  </w:style>
  <w:style w:type="character" w:styleId="Hyperlink">
    <w:name w:val="Hyperlink"/>
    <w:basedOn w:val="Standardskrifttypeiafsnit"/>
    <w:uiPriority w:val="99"/>
    <w:rsid w:val="0081497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2611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Helles PC</dc:creator>
  <cp:lastModifiedBy>Lone Skafte</cp:lastModifiedBy>
  <cp:revision>2</cp:revision>
  <dcterms:created xsi:type="dcterms:W3CDTF">2018-07-26T09:51:00Z</dcterms:created>
  <dcterms:modified xsi:type="dcterms:W3CDTF">2018-07-26T09:51:00Z</dcterms:modified>
</cp:coreProperties>
</file>