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horzAnchor="margin" w:tblpY="-55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F306DF" w:rsidTr="003B28FE">
        <w:tc>
          <w:tcPr>
            <w:tcW w:w="1809" w:type="dxa"/>
          </w:tcPr>
          <w:p w:rsidR="00292C80" w:rsidRPr="00292C80" w:rsidRDefault="00292C80" w:rsidP="00F306DF">
            <w:bookmarkStart w:id="0" w:name="_GoBack"/>
            <w:bookmarkEnd w:id="0"/>
            <w:r w:rsidRPr="00292C80">
              <w:rPr>
                <w:rFonts w:ascii="Calibri" w:hAnsi="Calibri" w:cs="Calibri"/>
                <w:bCs/>
                <w:sz w:val="24"/>
                <w:szCs w:val="24"/>
              </w:rPr>
              <w:t xml:space="preserve">Emne </w:t>
            </w:r>
          </w:p>
        </w:tc>
        <w:tc>
          <w:tcPr>
            <w:tcW w:w="8045" w:type="dxa"/>
          </w:tcPr>
          <w:p w:rsidR="00292C80" w:rsidRDefault="005B4FC3" w:rsidP="008D2278">
            <w:pPr>
              <w:tabs>
                <w:tab w:val="left" w:pos="1590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Modeller </w:t>
            </w:r>
          </w:p>
          <w:p w:rsidR="008D2278" w:rsidRPr="008D2278" w:rsidRDefault="008D2278" w:rsidP="008D2278">
            <w:pPr>
              <w:tabs>
                <w:tab w:val="left" w:pos="1590"/>
              </w:tabs>
              <w:jc w:val="center"/>
              <w:rPr>
                <w:sz w:val="32"/>
                <w:szCs w:val="32"/>
              </w:rPr>
            </w:pPr>
            <w:r w:rsidRPr="008D2278">
              <w:rPr>
                <w:rFonts w:ascii="Calibri" w:hAnsi="Calibri" w:cs="Calibri"/>
                <w:sz w:val="32"/>
                <w:szCs w:val="32"/>
              </w:rPr>
              <w:t>- se også de generelle kommentarer</w:t>
            </w:r>
          </w:p>
        </w:tc>
      </w:tr>
      <w:tr w:rsidR="00F306DF" w:rsidTr="003B28FE">
        <w:tc>
          <w:tcPr>
            <w:tcW w:w="1809" w:type="dxa"/>
          </w:tcPr>
          <w:p w:rsidR="00F56647" w:rsidRDefault="00292C80" w:rsidP="00F306DF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Mål</w:t>
            </w:r>
            <w:r w:rsidR="00F56647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gruppe</w:t>
            </w:r>
          </w:p>
        </w:tc>
        <w:tc>
          <w:tcPr>
            <w:tcW w:w="8045" w:type="dxa"/>
          </w:tcPr>
          <w:p w:rsidR="00292C80" w:rsidRPr="00B14D9C" w:rsidRDefault="008951FB" w:rsidP="00246E8E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Formidlingsagenter – små</w:t>
            </w:r>
            <w:r w:rsidR="00292C80" w:rsidRPr="00B14D9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306DF" w:rsidTr="003B28FE">
        <w:tc>
          <w:tcPr>
            <w:tcW w:w="1809" w:type="dxa"/>
          </w:tcPr>
          <w:p w:rsidR="00F56647" w:rsidRDefault="00292C80" w:rsidP="00F306DF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Fag</w:t>
            </w:r>
            <w:r w:rsidR="003B28FE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område</w:t>
            </w:r>
          </w:p>
        </w:tc>
        <w:tc>
          <w:tcPr>
            <w:tcW w:w="8045" w:type="dxa"/>
          </w:tcPr>
          <w:p w:rsidR="00292C80" w:rsidRPr="00B14D9C" w:rsidRDefault="008951FB" w:rsidP="00F306D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Natur/teknik </w:t>
            </w: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 xml:space="preserve">Mål  </w:t>
            </w:r>
          </w:p>
        </w:tc>
        <w:tc>
          <w:tcPr>
            <w:tcW w:w="8045" w:type="dxa"/>
          </w:tcPr>
          <w:p w:rsidR="00085149" w:rsidRDefault="00085149" w:rsidP="00755F8F"/>
          <w:p w:rsidR="00F97DB1" w:rsidRDefault="005B4FC3" w:rsidP="00755F8F">
            <w:r>
              <w:t>Eleverne skal kunne anvende kort t og modeller samt kunne redegøre for dem.</w:t>
            </w:r>
          </w:p>
          <w:p w:rsidR="005B4FC3" w:rsidRPr="00B14D9C" w:rsidRDefault="005B4FC3" w:rsidP="00755F8F">
            <w:pPr>
              <w:rPr>
                <w:sz w:val="24"/>
                <w:szCs w:val="24"/>
              </w:rPr>
            </w:pP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1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(intro / fang)</w:t>
            </w:r>
          </w:p>
        </w:tc>
        <w:tc>
          <w:tcPr>
            <w:tcW w:w="8045" w:type="dxa"/>
          </w:tcPr>
          <w:p w:rsidR="00373ED6" w:rsidRDefault="005B4FC3" w:rsidP="00755F8F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Vi fik besøg af skolens to-sprogslærer, der fortalte eleverne</w:t>
            </w:r>
            <w:r w:rsidR="00983E7E">
              <w:rPr>
                <w:rFonts w:ascii="Calibri" w:hAnsi="Calibri"/>
                <w:bCs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983E7E">
              <w:rPr>
                <w:rFonts w:ascii="Calibri" w:hAnsi="Calibri"/>
                <w:bCs/>
                <w:sz w:val="24"/>
                <w:szCs w:val="24"/>
              </w:rPr>
              <w:t xml:space="preserve">at hun havde brug for deres hjælp. En autentisk problemstilling blev præsenteret. Hun fortalte at mange før-faglige udtryk, som de tog for givet, havde hendes elever ikke kendskab til. Det var </w:t>
            </w:r>
            <w:r w:rsidR="00A4154F">
              <w:rPr>
                <w:rFonts w:ascii="Calibri" w:hAnsi="Calibri"/>
                <w:bCs/>
                <w:sz w:val="24"/>
                <w:szCs w:val="24"/>
              </w:rPr>
              <w:t xml:space="preserve">fx </w:t>
            </w:r>
            <w:r w:rsidR="00983E7E">
              <w:rPr>
                <w:rFonts w:ascii="Calibri" w:hAnsi="Calibri"/>
                <w:bCs/>
                <w:sz w:val="24"/>
                <w:szCs w:val="24"/>
              </w:rPr>
              <w:t xml:space="preserve">ord som år, årstid, skygge, ørken, grænse, </w:t>
            </w:r>
            <w:r w:rsidR="00A4154F">
              <w:rPr>
                <w:rFonts w:ascii="Calibri" w:hAnsi="Calibri"/>
                <w:bCs/>
                <w:sz w:val="24"/>
                <w:szCs w:val="24"/>
              </w:rPr>
              <w:t>damp...</w:t>
            </w:r>
            <w:r w:rsidR="005A0EE5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A4154F">
              <w:rPr>
                <w:rFonts w:ascii="Calibri" w:hAnsi="Calibri"/>
                <w:bCs/>
                <w:sz w:val="24"/>
                <w:szCs w:val="24"/>
              </w:rPr>
              <w:t>Om de kunne designe en formidling, der kunne give børnene nogle oplevelser, så de bedre kunne forstå</w:t>
            </w:r>
            <w:r w:rsidR="00085149">
              <w:rPr>
                <w:rFonts w:ascii="Calibri" w:hAnsi="Calibri"/>
                <w:bCs/>
                <w:sz w:val="24"/>
                <w:szCs w:val="24"/>
              </w:rPr>
              <w:t xml:space="preserve">, huske </w:t>
            </w:r>
            <w:r w:rsidR="00A4154F">
              <w:rPr>
                <w:rFonts w:ascii="Calibri" w:hAnsi="Calibri"/>
                <w:bCs/>
                <w:sz w:val="24"/>
                <w:szCs w:val="24"/>
              </w:rPr>
              <w:t>og lære det. Det ville de gerne.</w:t>
            </w:r>
          </w:p>
          <w:p w:rsidR="005B4FC3" w:rsidRPr="00B14D9C" w:rsidRDefault="005B4FC3" w:rsidP="00755F8F">
            <w:pPr>
              <w:rPr>
                <w:sz w:val="24"/>
                <w:szCs w:val="24"/>
              </w:rPr>
            </w:pP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2</w:t>
            </w:r>
          </w:p>
          <w:p w:rsidR="00F306DF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</w:t>
            </w:r>
            <w:r w:rsidR="00F306DF" w:rsidRPr="00B14D9C">
              <w:rPr>
                <w:sz w:val="24"/>
                <w:szCs w:val="24"/>
              </w:rPr>
              <w:t>fundament/</w:t>
            </w:r>
          </w:p>
          <w:p w:rsidR="00D87C19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forudsætning)</w:t>
            </w:r>
          </w:p>
        </w:tc>
        <w:tc>
          <w:tcPr>
            <w:tcW w:w="8045" w:type="dxa"/>
          </w:tcPr>
          <w:p w:rsidR="00A4154F" w:rsidRDefault="00A4154F" w:rsidP="002808F7">
            <w:r>
              <w:t xml:space="preserve">Med kraftig inspiration fra Metodelab ( </w:t>
            </w:r>
            <w:r w:rsidRPr="00A4154F">
              <w:t>http://metodelab.dk/index.php?id=46</w:t>
            </w:r>
            <w:r>
              <w:t xml:space="preserve">) introducerede vi modelbegrebet for eleverne og klædte dem således på til opgaven. </w:t>
            </w:r>
          </w:p>
          <w:p w:rsidR="00A4154F" w:rsidRDefault="00A4154F" w:rsidP="002808F7">
            <w:r>
              <w:t>Vi hev en masse forskellige modeller ned fra hylderne og diskuterede modellens funktion, fordele og ulemper samt talte om, hvor de to-sprogede børn måske kunne</w:t>
            </w:r>
            <w:r w:rsidR="00085149">
              <w:t xml:space="preserve"> lære noget forkert af modellen.</w:t>
            </w:r>
          </w:p>
          <w:p w:rsidR="005B4FC3" w:rsidRPr="00B14D9C" w:rsidRDefault="00A4154F" w:rsidP="00A4154F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306DF" w:rsidTr="003B28FE">
        <w:tc>
          <w:tcPr>
            <w:tcW w:w="1809" w:type="dxa"/>
          </w:tcPr>
          <w:p w:rsidR="00292C80" w:rsidRPr="00B14D9C" w:rsidRDefault="00D87C19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3</w:t>
            </w:r>
          </w:p>
          <w:p w:rsidR="00F306DF" w:rsidRPr="00B14D9C" w:rsidRDefault="00F306DF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(forsk)</w:t>
            </w:r>
          </w:p>
        </w:tc>
        <w:tc>
          <w:tcPr>
            <w:tcW w:w="8045" w:type="dxa"/>
          </w:tcPr>
          <w:p w:rsidR="005B4FC3" w:rsidRDefault="00A4154F" w:rsidP="0008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Herefter valgte de (to og to) en model</w:t>
            </w:r>
            <w:r w:rsidR="000851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de ville koncentrere sig om</w:t>
            </w:r>
            <w:r w:rsidR="00085149">
              <w:rPr>
                <w:sz w:val="24"/>
                <w:szCs w:val="24"/>
              </w:rPr>
              <w:t>. De fordybede sig i faglige områder med torso, dynamo, kort og globus samt modeller af øjet, tænder, vindmøller mm. Hver gruppe noterede fem begreber, de havde som mål at lære de små elever.</w:t>
            </w:r>
          </w:p>
          <w:p w:rsidR="00085149" w:rsidRPr="00B14D9C" w:rsidRDefault="00085149" w:rsidP="00085149">
            <w:pPr>
              <w:rPr>
                <w:sz w:val="24"/>
                <w:szCs w:val="24"/>
              </w:rPr>
            </w:pPr>
          </w:p>
        </w:tc>
      </w:tr>
      <w:tr w:rsidR="00D87C19" w:rsidTr="003B28FE">
        <w:tc>
          <w:tcPr>
            <w:tcW w:w="1809" w:type="dxa"/>
          </w:tcPr>
          <w:p w:rsidR="00D87C19" w:rsidRPr="00B14D9C" w:rsidRDefault="007B35E1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Forklar / formidl</w:t>
            </w:r>
          </w:p>
        </w:tc>
        <w:tc>
          <w:tcPr>
            <w:tcW w:w="8045" w:type="dxa"/>
          </w:tcPr>
          <w:p w:rsidR="00085149" w:rsidRDefault="00085149" w:rsidP="00677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bad to-sprogslæreren dele sine elever op i fem grupper (det blev ca fire i hver). Herefter fik hver gruppe ca</w:t>
            </w:r>
            <w:r w:rsidR="005A0E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10 minutters formidling af agenterne. Og efter en mindre "overhøring" i begreberne, gik de videre til næste gruppe.</w:t>
            </w:r>
          </w:p>
          <w:p w:rsidR="00085149" w:rsidRDefault="00085149" w:rsidP="00677321">
            <w:pPr>
              <w:rPr>
                <w:sz w:val="24"/>
                <w:szCs w:val="24"/>
              </w:rPr>
            </w:pPr>
          </w:p>
          <w:p w:rsidR="005B4FC3" w:rsidRDefault="00085149" w:rsidP="0008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To-sprogslæreren tog billeder og arbejdede videre med begreberne i de følgende timer. Hun bemærkede i øvrigt, at børnenes tegninger efterfølgende indeholdt flere detaljer og de havde flere begreber på, når de fortalte hvad de havde tegnet.</w:t>
            </w:r>
          </w:p>
          <w:p w:rsidR="00756411" w:rsidRPr="00B14D9C" w:rsidRDefault="00756411" w:rsidP="00085149">
            <w:pPr>
              <w:rPr>
                <w:sz w:val="24"/>
                <w:szCs w:val="24"/>
              </w:rPr>
            </w:pPr>
          </w:p>
        </w:tc>
      </w:tr>
      <w:tr w:rsidR="00D87C19" w:rsidTr="003B28FE">
        <w:tc>
          <w:tcPr>
            <w:tcW w:w="1809" w:type="dxa"/>
          </w:tcPr>
          <w:p w:rsidR="00D87C19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Forlæng</w:t>
            </w:r>
          </w:p>
        </w:tc>
        <w:tc>
          <w:tcPr>
            <w:tcW w:w="8045" w:type="dxa"/>
          </w:tcPr>
          <w:p w:rsidR="005B4FC3" w:rsidRDefault="00756411" w:rsidP="00756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evaluerede forløbet med vores elever, de synes det havde en meningsfuld opgave. Vi forlængede ved at arbejde med design af egne modeller, da dem de have brugt i det omtalte forløb var færdigproducerede modeller. Her gav vi dem opgaven: Lav en model, der kan forklare drivhuseffekten?</w:t>
            </w:r>
          </w:p>
          <w:p w:rsidR="00756411" w:rsidRDefault="00756411" w:rsidP="00756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Modellerne står nu i vores samling, til andre lærere og elever.</w:t>
            </w:r>
          </w:p>
          <w:p w:rsidR="00756411" w:rsidRDefault="00756411" w:rsidP="00756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 vi har set at forløbet har styrket agenterne i, at designe egne modeller efterfølgende. De starter altid med at definere deres model og fortæller hvad den skal vise - og hvad den eksempelvis ikke kan vise. </w:t>
            </w:r>
          </w:p>
          <w:p w:rsidR="00756411" w:rsidRPr="00B14D9C" w:rsidRDefault="00756411" w:rsidP="00756411">
            <w:pPr>
              <w:rPr>
                <w:sz w:val="24"/>
                <w:szCs w:val="24"/>
              </w:rPr>
            </w:pPr>
          </w:p>
        </w:tc>
      </w:tr>
    </w:tbl>
    <w:p w:rsidR="00F306DF" w:rsidRDefault="00F306DF" w:rsidP="00B7446C">
      <w:pPr>
        <w:spacing w:after="0" w:line="240" w:lineRule="auto"/>
        <w:rPr>
          <w:sz w:val="20"/>
          <w:szCs w:val="20"/>
        </w:rPr>
      </w:pPr>
    </w:p>
    <w:sectPr w:rsidR="00F306DF" w:rsidSect="008D2278"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402"/>
    <w:multiLevelType w:val="hybridMultilevel"/>
    <w:tmpl w:val="EAD48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31AA"/>
    <w:multiLevelType w:val="hybridMultilevel"/>
    <w:tmpl w:val="69A09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80"/>
    <w:rsid w:val="00071CBF"/>
    <w:rsid w:val="00085149"/>
    <w:rsid w:val="000C57AE"/>
    <w:rsid w:val="000E7B23"/>
    <w:rsid w:val="000F0A61"/>
    <w:rsid w:val="001E2A40"/>
    <w:rsid w:val="00246E8E"/>
    <w:rsid w:val="00256353"/>
    <w:rsid w:val="002808F7"/>
    <w:rsid w:val="00292C80"/>
    <w:rsid w:val="002A260A"/>
    <w:rsid w:val="00373ED6"/>
    <w:rsid w:val="003B28FE"/>
    <w:rsid w:val="00440953"/>
    <w:rsid w:val="004A1CD3"/>
    <w:rsid w:val="00530134"/>
    <w:rsid w:val="00550CAF"/>
    <w:rsid w:val="00567A03"/>
    <w:rsid w:val="005A0EE5"/>
    <w:rsid w:val="005B4FC3"/>
    <w:rsid w:val="00674438"/>
    <w:rsid w:val="00677321"/>
    <w:rsid w:val="00755F8F"/>
    <w:rsid w:val="00756411"/>
    <w:rsid w:val="007B35E1"/>
    <w:rsid w:val="00814972"/>
    <w:rsid w:val="008951FB"/>
    <w:rsid w:val="008D2278"/>
    <w:rsid w:val="00911115"/>
    <w:rsid w:val="009347DD"/>
    <w:rsid w:val="00950F1D"/>
    <w:rsid w:val="00954A93"/>
    <w:rsid w:val="00983E7E"/>
    <w:rsid w:val="009B7AD8"/>
    <w:rsid w:val="009D769C"/>
    <w:rsid w:val="009E30F0"/>
    <w:rsid w:val="00A4154F"/>
    <w:rsid w:val="00A45AAC"/>
    <w:rsid w:val="00A522E5"/>
    <w:rsid w:val="00A756B9"/>
    <w:rsid w:val="00B14D9C"/>
    <w:rsid w:val="00B7446C"/>
    <w:rsid w:val="00BE1EC2"/>
    <w:rsid w:val="00C1481C"/>
    <w:rsid w:val="00C549D5"/>
    <w:rsid w:val="00CB2637"/>
    <w:rsid w:val="00D62364"/>
    <w:rsid w:val="00D87C19"/>
    <w:rsid w:val="00E11A26"/>
    <w:rsid w:val="00EE5326"/>
    <w:rsid w:val="00F306DF"/>
    <w:rsid w:val="00F36D04"/>
    <w:rsid w:val="00F56647"/>
    <w:rsid w:val="00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DEEA4-CA28-4A5F-8CB1-8A24819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9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87C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8149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Helles PC</dc:creator>
  <cp:lastModifiedBy>Lone Skafte</cp:lastModifiedBy>
  <cp:revision>2</cp:revision>
  <dcterms:created xsi:type="dcterms:W3CDTF">2018-07-26T09:44:00Z</dcterms:created>
  <dcterms:modified xsi:type="dcterms:W3CDTF">2018-07-26T09:44:00Z</dcterms:modified>
</cp:coreProperties>
</file>